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812250" w14:textId="77777777" w:rsidR="00133EA9" w:rsidRDefault="00133EA9" w:rsidP="00133EA9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</w:p>
    <w:p w14:paraId="1EBDFD27" w14:textId="09ED9A6E" w:rsidR="00133EA9" w:rsidRPr="00E624D5" w:rsidRDefault="00133EA9" w:rsidP="00133EA9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 xml:space="preserve">Oznámení o zpracování </w:t>
      </w:r>
      <w:r w:rsidR="00C83011">
        <w:rPr>
          <w:b/>
          <w:bCs/>
          <w:color w:val="1F3864" w:themeColor="accent1" w:themeShade="80"/>
          <w:sz w:val="28"/>
          <w:szCs w:val="28"/>
        </w:rPr>
        <w:t>osobních údajů</w:t>
      </w:r>
      <w:r>
        <w:rPr>
          <w:b/>
          <w:bCs/>
          <w:color w:val="1F3864" w:themeColor="accent1" w:themeShade="80"/>
          <w:sz w:val="28"/>
          <w:szCs w:val="28"/>
        </w:rPr>
        <w:t xml:space="preserve"> subjektu údajů </w:t>
      </w:r>
    </w:p>
    <w:p w14:paraId="5D501A67" w14:textId="77777777" w:rsidR="00133EA9" w:rsidRDefault="00133EA9" w:rsidP="00133EA9">
      <w:pPr>
        <w:suppressAutoHyphens w:val="0"/>
      </w:pPr>
    </w:p>
    <w:tbl>
      <w:tblPr>
        <w:tblW w:w="9362" w:type="dxa"/>
        <w:tblInd w:w="-11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6"/>
        <w:gridCol w:w="2706"/>
        <w:gridCol w:w="980"/>
      </w:tblGrid>
      <w:tr w:rsidR="00133EA9" w:rsidRPr="006924D1" w14:paraId="7D0DB8B3" w14:textId="77777777" w:rsidTr="00532694">
        <w:trPr>
          <w:trHeight w:val="431"/>
        </w:trPr>
        <w:tc>
          <w:tcPr>
            <w:tcW w:w="936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511C9A4" w14:textId="77777777" w:rsidR="00133EA9" w:rsidRPr="006924D1" w:rsidRDefault="00133EA9" w:rsidP="00532694">
            <w:pPr>
              <w:spacing w:before="40" w:after="40"/>
              <w:rPr>
                <w:rFonts w:cs="Poppins"/>
                <w:bCs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Cs/>
                <w:color w:val="000000"/>
                <w:sz w:val="20"/>
                <w:szCs w:val="20"/>
                <w:lang w:eastAsia="en-GB"/>
              </w:rPr>
              <w:t>Tuto adresu použijte při odesílání poštou:</w:t>
            </w:r>
          </w:p>
          <w:p w14:paraId="76718BD1" w14:textId="77777777" w:rsidR="00133EA9" w:rsidRPr="006924D1" w:rsidRDefault="00133EA9" w:rsidP="00532694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>[</w:t>
            </w:r>
            <w:r w:rsidRPr="006924D1">
              <w:rPr>
                <w:rFonts w:cs="Poppins"/>
                <w:sz w:val="20"/>
                <w:szCs w:val="20"/>
                <w:lang w:eastAsia="en-GB"/>
              </w:rPr>
              <w:t>Jméno a příjmení subjektu údajů/žadatele, doručovací adresa]</w:t>
            </w:r>
          </w:p>
        </w:tc>
      </w:tr>
      <w:tr w:rsidR="00133EA9" w:rsidRPr="006924D1" w14:paraId="780A245F" w14:textId="77777777" w:rsidTr="00532694">
        <w:trPr>
          <w:trHeight w:val="540"/>
        </w:trPr>
        <w:tc>
          <w:tcPr>
            <w:tcW w:w="936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2739AE6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1520C971" w14:textId="77777777" w:rsidTr="00532694">
        <w:trPr>
          <w:trHeight w:val="1121"/>
        </w:trPr>
        <w:tc>
          <w:tcPr>
            <w:tcW w:w="936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82240E8" w14:textId="77777777" w:rsidR="00133EA9" w:rsidRPr="006924D1" w:rsidRDefault="00133EA9" w:rsidP="00532694">
            <w:pPr>
              <w:spacing w:before="120" w:after="120"/>
              <w:jc w:val="both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Cs/>
                <w:color w:val="000000"/>
                <w:sz w:val="20"/>
                <w:szCs w:val="20"/>
                <w:lang w:eastAsia="en-GB"/>
              </w:rPr>
              <w:t>Tento formulář pro zveřejňování osobních údajů je určen níže uvedené osobě v důsledku podání formuláře Žádosti subjektu údajů o přístup k údajům registrovaného pod číslem jednacím [číslo formuláře žádosti o přístup subjektu údajů</w:t>
            </w:r>
            <w:r>
              <w:rPr>
                <w:rFonts w:cs="Poppins"/>
                <w:bCs/>
                <w:color w:val="000000"/>
                <w:sz w:val="20"/>
                <w:szCs w:val="20"/>
                <w:lang w:eastAsia="en-GB"/>
              </w:rPr>
              <w:t xml:space="preserve"> k osobním údajům</w:t>
            </w:r>
            <w:r w:rsidRPr="006924D1">
              <w:rPr>
                <w:rFonts w:cs="Poppins"/>
                <w:bCs/>
                <w:color w:val="000000"/>
                <w:sz w:val="20"/>
                <w:szCs w:val="20"/>
                <w:lang w:eastAsia="en-GB"/>
              </w:rPr>
              <w:t>].</w:t>
            </w:r>
          </w:p>
        </w:tc>
      </w:tr>
      <w:tr w:rsidR="00133EA9" w:rsidRPr="006924D1" w14:paraId="66A0523D" w14:textId="77777777" w:rsidTr="00532694">
        <w:trPr>
          <w:trHeight w:val="448"/>
        </w:trPr>
        <w:tc>
          <w:tcPr>
            <w:tcW w:w="56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5DCC0A1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Celé jméno subjektu údajů</w:t>
            </w:r>
          </w:p>
        </w:tc>
        <w:tc>
          <w:tcPr>
            <w:tcW w:w="368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0D6AC65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Datum narození subjektu údajů</w:t>
            </w:r>
          </w:p>
        </w:tc>
      </w:tr>
      <w:tr w:rsidR="00133EA9" w:rsidRPr="006924D1" w14:paraId="583DBEA4" w14:textId="77777777" w:rsidTr="00532694">
        <w:trPr>
          <w:trHeight w:val="504"/>
        </w:trPr>
        <w:tc>
          <w:tcPr>
            <w:tcW w:w="5676" w:type="dxa"/>
            <w:tcBorders>
              <w:left w:val="single" w:sz="4" w:space="0" w:color="00000A"/>
            </w:tcBorders>
            <w:tcMar>
              <w:left w:w="103" w:type="dxa"/>
            </w:tcMar>
            <w:vAlign w:val="center"/>
          </w:tcPr>
          <w:p w14:paraId="2F7FED2A" w14:textId="77777777" w:rsidR="00133EA9" w:rsidRPr="006924D1" w:rsidRDefault="00133EA9" w:rsidP="00532694">
            <w:pPr>
              <w:spacing w:before="120" w:after="12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9BA3986" w14:textId="77777777" w:rsidR="00133EA9" w:rsidRPr="006924D1" w:rsidRDefault="00133EA9" w:rsidP="00532694">
            <w:pPr>
              <w:spacing w:before="120" w:after="12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28BFDDB9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3C7882C" w14:textId="77777777" w:rsidR="00133EA9" w:rsidRPr="006924D1" w:rsidRDefault="00133EA9" w:rsidP="00532694">
            <w:pPr>
              <w:spacing w:before="120" w:after="12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Aktuální adresa subjektu údajů</w:t>
            </w:r>
          </w:p>
        </w:tc>
      </w:tr>
      <w:tr w:rsidR="00133EA9" w:rsidRPr="006924D1" w14:paraId="0201DCDC" w14:textId="77777777" w:rsidTr="00532694">
        <w:trPr>
          <w:trHeight w:val="406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A9BE99" w14:textId="77777777" w:rsidR="00133EA9" w:rsidRPr="006924D1" w:rsidRDefault="00133EA9" w:rsidP="00532694">
            <w:pPr>
              <w:tabs>
                <w:tab w:val="left" w:pos="2645"/>
              </w:tabs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5A24C826" w14:textId="77777777" w:rsidTr="00532694">
        <w:trPr>
          <w:trHeight w:val="454"/>
        </w:trPr>
        <w:tc>
          <w:tcPr>
            <w:tcW w:w="936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C829F44" w14:textId="77777777" w:rsidR="00133EA9" w:rsidRPr="006924D1" w:rsidRDefault="00133EA9" w:rsidP="00532694">
            <w:pPr>
              <w:spacing w:before="120" w:after="12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sz w:val="20"/>
                <w:szCs w:val="20"/>
                <w:lang w:eastAsia="en-GB"/>
              </w:rPr>
              <w:t>Účel zpracování</w:t>
            </w:r>
          </w:p>
        </w:tc>
      </w:tr>
      <w:tr w:rsidR="00133EA9" w:rsidRPr="006924D1" w14:paraId="59D33E2E" w14:textId="77777777" w:rsidTr="00532694">
        <w:trPr>
          <w:trHeight w:val="436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1F3F7B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1D3AA5DD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8054527" w14:textId="77777777" w:rsidR="00133EA9" w:rsidRPr="006924D1" w:rsidRDefault="00133EA9" w:rsidP="00532694">
            <w:pPr>
              <w:spacing w:before="120" w:after="12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sz w:val="20"/>
                <w:szCs w:val="20"/>
                <w:lang w:eastAsia="en-GB"/>
              </w:rPr>
              <w:t>Příjemci nebo kategorie příjemců</w:t>
            </w:r>
          </w:p>
        </w:tc>
      </w:tr>
      <w:tr w:rsidR="00133EA9" w:rsidRPr="006924D1" w14:paraId="226F3BFA" w14:textId="77777777" w:rsidTr="00532694">
        <w:trPr>
          <w:trHeight w:val="466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DF9C7B4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209C0ECB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05CBBC4" w14:textId="77777777" w:rsidR="00133EA9" w:rsidRPr="006924D1" w:rsidRDefault="00133EA9" w:rsidP="00532694">
            <w:pPr>
              <w:spacing w:before="120" w:after="120"/>
              <w:rPr>
                <w:rFonts w:eastAsia="MS Gothic"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Doba uložení</w:t>
            </w:r>
          </w:p>
        </w:tc>
      </w:tr>
      <w:tr w:rsidR="00133EA9" w:rsidRPr="006924D1" w14:paraId="2683B75C" w14:textId="77777777" w:rsidTr="00532694">
        <w:trPr>
          <w:trHeight w:val="258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DF04B41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6911E953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61E077C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Zdroj dat (pokud nepochází od subjektu údajů)</w:t>
            </w:r>
          </w:p>
        </w:tc>
      </w:tr>
      <w:tr w:rsidR="00133EA9" w:rsidRPr="006924D1" w14:paraId="4701ED45" w14:textId="77777777" w:rsidTr="00532694">
        <w:trPr>
          <w:trHeight w:val="256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3107B7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6091B979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FF83839" w14:textId="77777777" w:rsidR="00133EA9" w:rsidRPr="006924D1" w:rsidRDefault="00133EA9" w:rsidP="00532694">
            <w:pPr>
              <w:spacing w:before="120" w:after="12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Jakákoliv regulovaná automatizovaná rozhodnutí</w:t>
            </w:r>
          </w:p>
        </w:tc>
      </w:tr>
      <w:tr w:rsidR="00133EA9" w:rsidRPr="006924D1" w14:paraId="7FA1FD46" w14:textId="77777777" w:rsidTr="00532694">
        <w:trPr>
          <w:trHeight w:val="285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853DD5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01E912F2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47E7206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Odpověď na žádost subjektu údajů o přístup k</w:t>
            </w:r>
            <w:r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6924D1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údajům</w:t>
            </w:r>
          </w:p>
        </w:tc>
      </w:tr>
      <w:tr w:rsidR="00133EA9" w:rsidRPr="006924D1" w14:paraId="3FEFD57A" w14:textId="77777777" w:rsidTr="00532694">
        <w:trPr>
          <w:trHeight w:val="277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887B52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133EA9" w:rsidRPr="006924D1" w14:paraId="44A6FA6D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EDD8E3F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Důvody neposkytnutí informací subjektu údajů</w:t>
            </w:r>
          </w:p>
        </w:tc>
      </w:tr>
      <w:tr w:rsidR="00133EA9" w:rsidRPr="006924D1" w14:paraId="461B3890" w14:textId="77777777" w:rsidTr="00532694">
        <w:trPr>
          <w:trHeight w:val="20"/>
        </w:trPr>
        <w:tc>
          <w:tcPr>
            <w:tcW w:w="8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4E20508" w14:textId="77777777" w:rsidR="00133EA9" w:rsidRPr="006924D1" w:rsidRDefault="00133EA9" w:rsidP="00532694">
            <w:pPr>
              <w:spacing w:before="100" w:after="10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>Informace se týkají jiné osoby nebo osob</w:t>
            </w:r>
            <w:r>
              <w:rPr>
                <w:rFonts w:cs="Poppins"/>
                <w:color w:val="000000"/>
                <w:sz w:val="20"/>
                <w:szCs w:val="20"/>
                <w:lang w:eastAsia="en-GB"/>
              </w:rPr>
              <w:t>,</w:t>
            </w: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 než je subjekt údajů.</w:t>
            </w:r>
          </w:p>
        </w:tc>
        <w:tc>
          <w:tcPr>
            <w:tcW w:w="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E7F126" w14:textId="77777777" w:rsidR="00133EA9" w:rsidRPr="006924D1" w:rsidRDefault="00133EA9" w:rsidP="00532694">
            <w:pPr>
              <w:spacing w:before="100" w:after="100"/>
              <w:jc w:val="center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133EA9" w:rsidRPr="006924D1" w14:paraId="57387F17" w14:textId="77777777" w:rsidTr="00532694">
        <w:trPr>
          <w:trHeight w:val="1759"/>
        </w:trPr>
        <w:tc>
          <w:tcPr>
            <w:tcW w:w="8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D55CC99" w14:textId="77777777" w:rsidR="00133EA9" w:rsidRPr="006924D1" w:rsidRDefault="00133EA9" w:rsidP="00532694">
            <w:pPr>
              <w:spacing w:before="100" w:after="100"/>
              <w:jc w:val="both"/>
              <w:rPr>
                <w:rFonts w:cs="Poppins"/>
                <w:sz w:val="20"/>
                <w:szCs w:val="20"/>
              </w:rPr>
            </w:pPr>
            <w:r w:rsidRPr="006924D1">
              <w:rPr>
                <w:rFonts w:cs="Poppins"/>
                <w:sz w:val="20"/>
                <w:szCs w:val="20"/>
              </w:rPr>
              <w:lastRenderedPageBreak/>
              <w:t xml:space="preserve">Podobná nebo totožná žádost ve vztahu ke stejnému subjektu údajů byla </w:t>
            </w:r>
            <w:r w:rsidRPr="006924D1">
              <w:rPr>
                <w:rFonts w:cs="Poppins"/>
                <w:sz w:val="20"/>
                <w:szCs w:val="20"/>
              </w:rPr>
              <w:br/>
              <w:t>již dříve vyřízena v přiměřené lhůtě. Vzhledem k tomu, že nedošlo k významné změně v osobních údajích ve vztahu k tomuto subjektu údajů, je jakákoliv další žádost podaná během šestiměsíčního období od původní žádosti považována za opakovanou žádost. ZZS SK zpravidla neposkytuje další kopie stejných údajů a není povinna poskytovat kopie dokumentů, které již byly zveřejněny.</w:t>
            </w:r>
          </w:p>
        </w:tc>
        <w:tc>
          <w:tcPr>
            <w:tcW w:w="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F96CCB7" w14:textId="77777777" w:rsidR="00133EA9" w:rsidRPr="006924D1" w:rsidRDefault="00133EA9" w:rsidP="00532694">
            <w:pPr>
              <w:spacing w:before="100" w:after="100"/>
              <w:jc w:val="center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133EA9" w:rsidRPr="006924D1" w14:paraId="596BEEF4" w14:textId="77777777" w:rsidTr="00532694">
        <w:trPr>
          <w:trHeight w:val="20"/>
        </w:trPr>
        <w:tc>
          <w:tcPr>
            <w:tcW w:w="8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D7083E0" w14:textId="77777777" w:rsidR="00133EA9" w:rsidRPr="006924D1" w:rsidRDefault="00133EA9" w:rsidP="00532694">
            <w:pPr>
              <w:spacing w:before="100" w:after="100"/>
              <w:jc w:val="both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sz w:val="20"/>
                <w:szCs w:val="20"/>
              </w:rPr>
              <w:t>Osobní údaje jsou ve vztahu k subjektu údajů předmětem obchodního tajemství nebo duševního vlastnictví, zejména autorského práva</w:t>
            </w:r>
          </w:p>
        </w:tc>
        <w:tc>
          <w:tcPr>
            <w:tcW w:w="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7FFF24" w14:textId="77777777" w:rsidR="00133EA9" w:rsidRPr="006924D1" w:rsidRDefault="00133EA9" w:rsidP="00532694">
            <w:pPr>
              <w:spacing w:before="100" w:after="100"/>
              <w:jc w:val="center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133EA9" w:rsidRPr="006924D1" w14:paraId="5457C078" w14:textId="77777777" w:rsidTr="00532694">
        <w:trPr>
          <w:trHeight w:val="20"/>
        </w:trPr>
        <w:tc>
          <w:tcPr>
            <w:tcW w:w="8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BAEF8B" w14:textId="77777777" w:rsidR="00133EA9" w:rsidRPr="006924D1" w:rsidRDefault="00133EA9" w:rsidP="00532694">
            <w:pPr>
              <w:spacing w:before="100" w:after="100"/>
              <w:jc w:val="both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>Informace jsou považovány za privilegované nebo důvěrné (např. přímá komunikace mezi klientem a jeho právníkem).</w:t>
            </w:r>
          </w:p>
        </w:tc>
        <w:tc>
          <w:tcPr>
            <w:tcW w:w="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A84665C" w14:textId="77777777" w:rsidR="00133EA9" w:rsidRPr="006924D1" w:rsidRDefault="00133EA9" w:rsidP="00532694">
            <w:pPr>
              <w:spacing w:before="100" w:after="100"/>
              <w:jc w:val="center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133EA9" w:rsidRPr="006924D1" w14:paraId="5A1CA312" w14:textId="77777777" w:rsidTr="00532694">
        <w:trPr>
          <w:trHeight w:val="20"/>
        </w:trPr>
        <w:tc>
          <w:tcPr>
            <w:tcW w:w="8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7FAEC2" w14:textId="77777777" w:rsidR="00133EA9" w:rsidRPr="006924D1" w:rsidRDefault="00133EA9" w:rsidP="00532694">
            <w:pPr>
              <w:spacing w:before="100" w:after="100"/>
              <w:jc w:val="both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>Informace jsou uchovávány pouze za účelem statistiky nebo výzkumu a výsledky statistické práce nebo výzkumu nejsou k dispozici ve formě, která by identifikovala jakoukoliv zúčastněnou osobu.</w:t>
            </w:r>
          </w:p>
        </w:tc>
        <w:tc>
          <w:tcPr>
            <w:tcW w:w="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602949" w14:textId="77777777" w:rsidR="00133EA9" w:rsidRPr="006924D1" w:rsidRDefault="00133EA9" w:rsidP="00532694">
            <w:pPr>
              <w:spacing w:before="100" w:after="100"/>
              <w:jc w:val="center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133EA9" w:rsidRPr="006924D1" w14:paraId="3DAD2725" w14:textId="77777777" w:rsidTr="00532694">
        <w:trPr>
          <w:trHeight w:val="20"/>
        </w:trPr>
        <w:tc>
          <w:tcPr>
            <w:tcW w:w="83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A8C34E" w14:textId="77777777" w:rsidR="00133EA9" w:rsidRPr="006924D1" w:rsidRDefault="00133EA9" w:rsidP="00532694">
            <w:pPr>
              <w:spacing w:before="100" w:after="100"/>
              <w:jc w:val="both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>Účely související s právy jednotlivců v rámci právních předpisů o ochraně údajů: lze zamítnout žádosti podané pro jiné účely, než je ochrana osobních údajů.</w:t>
            </w:r>
          </w:p>
        </w:tc>
        <w:tc>
          <w:tcPr>
            <w:tcW w:w="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059520A" w14:textId="77777777" w:rsidR="00133EA9" w:rsidRPr="006924D1" w:rsidRDefault="00133EA9" w:rsidP="00532694">
            <w:pPr>
              <w:spacing w:before="100" w:after="100"/>
              <w:jc w:val="center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133EA9" w:rsidRPr="006924D1" w14:paraId="05B70086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6C3844B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Jako subjekt údajů máte následující práva</w:t>
            </w:r>
          </w:p>
        </w:tc>
      </w:tr>
      <w:tr w:rsidR="00133EA9" w:rsidRPr="006924D1" w14:paraId="61FB9181" w14:textId="77777777" w:rsidTr="00532694">
        <w:trPr>
          <w:trHeight w:val="2848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89BCEE6" w14:textId="77777777" w:rsidR="00133EA9" w:rsidRPr="006924D1" w:rsidRDefault="00133EA9" w:rsidP="00532694">
            <w:pPr>
              <w:numPr>
                <w:ilvl w:val="0"/>
                <w:numId w:val="13"/>
              </w:numPr>
              <w:suppressAutoHyphens w:val="0"/>
              <w:spacing w:before="120" w:after="120"/>
              <w:ind w:left="851" w:hanging="284"/>
              <w:contextualSpacing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Právo na opravu</w:t>
            </w: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 – máte právo na opravu údajů, které o Vás držíme, a které jsou nepřesné nebo neúplné.</w:t>
            </w:r>
          </w:p>
          <w:p w14:paraId="6C5D2C90" w14:textId="77777777" w:rsidR="00133EA9" w:rsidRPr="006924D1" w:rsidRDefault="00133EA9" w:rsidP="00532694">
            <w:pPr>
              <w:numPr>
                <w:ilvl w:val="0"/>
                <w:numId w:val="13"/>
              </w:numPr>
              <w:suppressAutoHyphens w:val="0"/>
              <w:spacing w:before="120" w:after="120"/>
              <w:ind w:left="851" w:hanging="284"/>
              <w:contextualSpacing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Právo „být zapomenut“</w:t>
            </w: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 – za určitých okolností můžete požádat o to, aby údaje, které o Vás držíme, byly vymazány z našich evidencí.</w:t>
            </w:r>
          </w:p>
          <w:p w14:paraId="4D837670" w14:textId="77777777" w:rsidR="00133EA9" w:rsidRPr="006924D1" w:rsidRDefault="00133EA9" w:rsidP="00532694">
            <w:pPr>
              <w:numPr>
                <w:ilvl w:val="0"/>
                <w:numId w:val="13"/>
              </w:numPr>
              <w:suppressAutoHyphens w:val="0"/>
              <w:spacing w:before="120" w:after="120"/>
              <w:ind w:left="851" w:hanging="284"/>
              <w:contextualSpacing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Právo na omezení zpracování</w:t>
            </w: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 – za určitých okolností máte právo na omezení zpracování.</w:t>
            </w:r>
          </w:p>
          <w:p w14:paraId="476396B5" w14:textId="77777777" w:rsidR="00133EA9" w:rsidRPr="006924D1" w:rsidRDefault="00133EA9" w:rsidP="00532694">
            <w:pPr>
              <w:numPr>
                <w:ilvl w:val="0"/>
                <w:numId w:val="13"/>
              </w:numPr>
              <w:suppressAutoHyphens w:val="0"/>
              <w:spacing w:before="120" w:after="120"/>
              <w:ind w:left="851" w:hanging="284"/>
              <w:contextualSpacing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Právo vznést námitku proti zpracování</w:t>
            </w: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 – máte právo vznést námitky proti určitým typům zpracování, jako je např. přímý marketing.</w:t>
            </w:r>
          </w:p>
          <w:p w14:paraId="5299666F" w14:textId="77777777" w:rsidR="00133EA9" w:rsidRPr="006924D1" w:rsidRDefault="00133EA9" w:rsidP="00532694">
            <w:pPr>
              <w:numPr>
                <w:ilvl w:val="0"/>
                <w:numId w:val="13"/>
              </w:numPr>
              <w:suppressAutoHyphens w:val="0"/>
              <w:spacing w:before="120" w:after="120"/>
              <w:ind w:left="851" w:hanging="284"/>
              <w:contextualSpacing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Právo podat stížnost</w:t>
            </w: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 – pokud nejste spokojen(a) s tím, jak jsou Vaše osobní údaje zpracovávány nebo jak byla Vaše stížnost vyřizována, můžete podat stížnost přímo </w:t>
            </w:r>
            <w:r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</w: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u Úřadu pro ochranu osobních údajů a ředitele </w:t>
            </w:r>
            <w:r w:rsidRPr="006924D1">
              <w:rPr>
                <w:rFonts w:cs="Poppins"/>
                <w:sz w:val="20"/>
                <w:szCs w:val="20"/>
              </w:rPr>
              <w:t>ZZS SK</w:t>
            </w:r>
            <w:r w:rsidRPr="006924D1">
              <w:rPr>
                <w:rFonts w:cs="Poppins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133EA9" w:rsidRPr="006924D1" w14:paraId="179F9323" w14:textId="77777777" w:rsidTr="00532694">
        <w:trPr>
          <w:trHeight w:val="454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09F242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Jméno osoby poskytující informace:</w:t>
            </w:r>
          </w:p>
        </w:tc>
      </w:tr>
      <w:tr w:rsidR="00133EA9" w:rsidRPr="006924D1" w14:paraId="166352B9" w14:textId="77777777" w:rsidTr="00532694">
        <w:trPr>
          <w:trHeight w:val="1020"/>
        </w:trPr>
        <w:tc>
          <w:tcPr>
            <w:tcW w:w="93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FDC724A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 xml:space="preserve">Datum: </w:t>
            </w:r>
          </w:p>
          <w:p w14:paraId="27197326" w14:textId="77777777" w:rsidR="00133EA9" w:rsidRPr="006924D1" w:rsidRDefault="00133EA9" w:rsidP="00532694">
            <w:pPr>
              <w:spacing w:before="120" w:after="12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6924D1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 xml:space="preserve">Podpis: </w:t>
            </w:r>
          </w:p>
        </w:tc>
      </w:tr>
    </w:tbl>
    <w:p w14:paraId="261EF948" w14:textId="4A004F9A" w:rsidR="00825C0F" w:rsidRDefault="00825C0F" w:rsidP="00825C0F">
      <w:pPr>
        <w:suppressAutoHyphens w:val="0"/>
        <w:rPr>
          <w:rFonts w:cs="Poppins"/>
          <w:b/>
          <w:noProof/>
          <w:color w:val="2F5496" w:themeColor="accent1" w:themeShade="BF"/>
          <w:sz w:val="28"/>
        </w:rPr>
      </w:pPr>
    </w:p>
    <w:sectPr w:rsidR="00825C0F" w:rsidSect="0032626F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  <w:embedRegular r:id="rId1" w:fontKey="{538CBCE6-9F7D-40C2-BC64-CB87C5B47B48}"/>
    <w:embedBold r:id="rId2" w:fontKey="{5A6B077B-AC8D-413D-852B-5281621D9B36}"/>
    <w:embedItalic r:id="rId3" w:fontKey="{C3DAFAF3-1D30-4FF1-B486-1C00B13E7119}"/>
    <w:embedBoldItalic r:id="rId4" w:fontKey="{BC5F7AFB-FA84-4846-B44E-A23A19C022E6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decorative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5" w:subsetted="1" w:fontKey="{61A62F13-7C18-4793-97C3-DF6868373ADA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A6A0B"/>
    <w:multiLevelType w:val="multilevel"/>
    <w:tmpl w:val="0FD259C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1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1"/>
  </w:num>
  <w:num w:numId="3" w16cid:durableId="1424886081">
    <w:abstractNumId w:val="8"/>
  </w:num>
  <w:num w:numId="4" w16cid:durableId="470825302">
    <w:abstractNumId w:val="6"/>
  </w:num>
  <w:num w:numId="5" w16cid:durableId="1256019733">
    <w:abstractNumId w:val="1"/>
  </w:num>
  <w:num w:numId="6" w16cid:durableId="677662161">
    <w:abstractNumId w:val="12"/>
  </w:num>
  <w:num w:numId="7" w16cid:durableId="1552305496">
    <w:abstractNumId w:val="5"/>
  </w:num>
  <w:num w:numId="8" w16cid:durableId="734351565">
    <w:abstractNumId w:val="9"/>
  </w:num>
  <w:num w:numId="9" w16cid:durableId="2005624340">
    <w:abstractNumId w:val="10"/>
  </w:num>
  <w:num w:numId="10" w16cid:durableId="987980354">
    <w:abstractNumId w:val="0"/>
  </w:num>
  <w:num w:numId="11" w16cid:durableId="1060521621">
    <w:abstractNumId w:val="4"/>
  </w:num>
  <w:num w:numId="12" w16cid:durableId="227541620">
    <w:abstractNumId w:val="7"/>
  </w:num>
  <w:num w:numId="13" w16cid:durableId="27560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7082D"/>
    <w:rsid w:val="00071451"/>
    <w:rsid w:val="000A57FE"/>
    <w:rsid w:val="000B776C"/>
    <w:rsid w:val="000D59E0"/>
    <w:rsid w:val="000E17A5"/>
    <w:rsid w:val="000F0297"/>
    <w:rsid w:val="0011579A"/>
    <w:rsid w:val="001321A4"/>
    <w:rsid w:val="00133EA9"/>
    <w:rsid w:val="00144AB1"/>
    <w:rsid w:val="001646D5"/>
    <w:rsid w:val="00176889"/>
    <w:rsid w:val="001B7295"/>
    <w:rsid w:val="001C171C"/>
    <w:rsid w:val="001E577D"/>
    <w:rsid w:val="002012F6"/>
    <w:rsid w:val="00212D7E"/>
    <w:rsid w:val="0022771A"/>
    <w:rsid w:val="00256D8D"/>
    <w:rsid w:val="00261AEB"/>
    <w:rsid w:val="00263D1E"/>
    <w:rsid w:val="00267F93"/>
    <w:rsid w:val="00292C2E"/>
    <w:rsid w:val="002943BE"/>
    <w:rsid w:val="002B77DB"/>
    <w:rsid w:val="002E02F4"/>
    <w:rsid w:val="002E7D3D"/>
    <w:rsid w:val="00315D15"/>
    <w:rsid w:val="0032626F"/>
    <w:rsid w:val="00384E89"/>
    <w:rsid w:val="003A5910"/>
    <w:rsid w:val="003A5D9A"/>
    <w:rsid w:val="003A73C4"/>
    <w:rsid w:val="003D6CEA"/>
    <w:rsid w:val="003E7D35"/>
    <w:rsid w:val="003F3A43"/>
    <w:rsid w:val="00414702"/>
    <w:rsid w:val="004163A8"/>
    <w:rsid w:val="00417F09"/>
    <w:rsid w:val="0043538A"/>
    <w:rsid w:val="00460E82"/>
    <w:rsid w:val="00470A24"/>
    <w:rsid w:val="00470CD9"/>
    <w:rsid w:val="0047664B"/>
    <w:rsid w:val="00492C00"/>
    <w:rsid w:val="004A4A78"/>
    <w:rsid w:val="004A5CA4"/>
    <w:rsid w:val="004A7037"/>
    <w:rsid w:val="004B2520"/>
    <w:rsid w:val="004C2AC1"/>
    <w:rsid w:val="004D5D28"/>
    <w:rsid w:val="004E7F2C"/>
    <w:rsid w:val="0051327F"/>
    <w:rsid w:val="0054604B"/>
    <w:rsid w:val="00551518"/>
    <w:rsid w:val="00562D68"/>
    <w:rsid w:val="005A29FC"/>
    <w:rsid w:val="005C1A1F"/>
    <w:rsid w:val="005C5562"/>
    <w:rsid w:val="005D3EED"/>
    <w:rsid w:val="005E6707"/>
    <w:rsid w:val="005F6AF9"/>
    <w:rsid w:val="00611CAE"/>
    <w:rsid w:val="00630480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76B99"/>
    <w:rsid w:val="008B1679"/>
    <w:rsid w:val="008B2411"/>
    <w:rsid w:val="008D27F2"/>
    <w:rsid w:val="008F2967"/>
    <w:rsid w:val="008F30EB"/>
    <w:rsid w:val="0090593E"/>
    <w:rsid w:val="0093605C"/>
    <w:rsid w:val="0093757C"/>
    <w:rsid w:val="00961995"/>
    <w:rsid w:val="009A2A70"/>
    <w:rsid w:val="009B4D2A"/>
    <w:rsid w:val="009B714E"/>
    <w:rsid w:val="009C7F4A"/>
    <w:rsid w:val="009D49A6"/>
    <w:rsid w:val="009E6EE7"/>
    <w:rsid w:val="00A35CA5"/>
    <w:rsid w:val="00A362BB"/>
    <w:rsid w:val="00A3687B"/>
    <w:rsid w:val="00A80871"/>
    <w:rsid w:val="00AA02DE"/>
    <w:rsid w:val="00AE7DE4"/>
    <w:rsid w:val="00AF2390"/>
    <w:rsid w:val="00AF4989"/>
    <w:rsid w:val="00B046C5"/>
    <w:rsid w:val="00B3269F"/>
    <w:rsid w:val="00B42A17"/>
    <w:rsid w:val="00B4649B"/>
    <w:rsid w:val="00B6676D"/>
    <w:rsid w:val="00BD06D2"/>
    <w:rsid w:val="00C24D4D"/>
    <w:rsid w:val="00C514C7"/>
    <w:rsid w:val="00C64404"/>
    <w:rsid w:val="00C66302"/>
    <w:rsid w:val="00C83011"/>
    <w:rsid w:val="00CC4CA8"/>
    <w:rsid w:val="00CE0AAA"/>
    <w:rsid w:val="00D46D32"/>
    <w:rsid w:val="00D53B0B"/>
    <w:rsid w:val="00D5676E"/>
    <w:rsid w:val="00D67BF1"/>
    <w:rsid w:val="00D67CE8"/>
    <w:rsid w:val="00D8496C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7CB3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5</cp:revision>
  <cp:lastPrinted>2023-11-02T08:27:00Z</cp:lastPrinted>
  <dcterms:created xsi:type="dcterms:W3CDTF">2025-10-10T12:34:00Z</dcterms:created>
  <dcterms:modified xsi:type="dcterms:W3CDTF">2025-10-13T11:09:00Z</dcterms:modified>
</cp:coreProperties>
</file>